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7086D6E5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0951B1">
        <w:rPr>
          <w:sz w:val="18"/>
        </w:rPr>
        <w:t>Warszawa</w:t>
      </w:r>
      <w:r w:rsidRPr="000951B1">
        <w:rPr>
          <w:sz w:val="18"/>
        </w:rPr>
        <w:t>, dn</w:t>
      </w:r>
      <w:r w:rsidR="00F536EE" w:rsidRPr="000951B1">
        <w:rPr>
          <w:sz w:val="18"/>
        </w:rPr>
        <w:t>ia</w:t>
      </w:r>
      <w:r w:rsidRPr="000951B1">
        <w:rPr>
          <w:sz w:val="18"/>
        </w:rPr>
        <w:t xml:space="preserve"> </w:t>
      </w:r>
      <w:r w:rsidR="0003516E">
        <w:rPr>
          <w:sz w:val="18"/>
        </w:rPr>
        <w:t>16.</w:t>
      </w:r>
      <w:r w:rsidR="00024474">
        <w:rPr>
          <w:sz w:val="18"/>
        </w:rPr>
        <w:t>01.2026</w:t>
      </w:r>
      <w:r w:rsidRPr="000951B1"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7CAED0C7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52717">
        <w:rPr>
          <w:b/>
        </w:rPr>
        <w:t>25DFB</w:t>
      </w:r>
      <w:r w:rsidR="00952717">
        <w:rPr>
          <w:b/>
        </w:rPr>
        <w:t>T9</w:t>
      </w:r>
      <w:r w:rsidR="00024474">
        <w:rPr>
          <w:b/>
        </w:rPr>
        <w:t>97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0EAE177B" w14:textId="499E5415" w:rsidR="00C4433E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r w:rsidR="00F40722" w:rsidRPr="00F40722">
        <w:rPr>
          <w:bCs w:val="0"/>
          <w:u w:val="none"/>
        </w:rPr>
        <w:t xml:space="preserve">Wykonanie remontu wyłączników generatorowych generatorów nr 7, 8, 9, 10 </w:t>
      </w:r>
      <w:r w:rsidR="00F40722">
        <w:rPr>
          <w:bCs w:val="0"/>
          <w:u w:val="none"/>
        </w:rPr>
        <w:br/>
      </w:r>
      <w:r w:rsidR="00F40722" w:rsidRPr="00F40722">
        <w:rPr>
          <w:bCs w:val="0"/>
          <w:u w:val="none"/>
        </w:rPr>
        <w:t>w Elektrociepłowni Siekierki</w:t>
      </w:r>
    </w:p>
    <w:p w14:paraId="2C89CADD" w14:textId="77777777" w:rsidR="00F40722" w:rsidRPr="002E4C10" w:rsidRDefault="00F40722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75719F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46EC41E8" w:rsidR="00EA7AF6" w:rsidRDefault="00693CC7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681B813" w:rsidR="00EA7AF6" w:rsidRPr="002E4C10" w:rsidRDefault="00EA7AF6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</w:t>
      </w:r>
      <w:r w:rsidRPr="00952717">
        <w:rPr>
          <w:sz w:val="18"/>
          <w:szCs w:val="18"/>
        </w:rPr>
        <w:t>”</w:t>
      </w:r>
      <w:r w:rsidR="000D3E8E" w:rsidRPr="00952717">
        <w:rPr>
          <w:sz w:val="18"/>
          <w:szCs w:val="18"/>
        </w:rPr>
        <w:t>(za wyjątkiem Spółek z GK)</w:t>
      </w:r>
      <w:r w:rsidRPr="00952717">
        <w:rPr>
          <w:sz w:val="18"/>
          <w:szCs w:val="18"/>
        </w:rPr>
        <w:t>,</w:t>
      </w:r>
    </w:p>
    <w:p w14:paraId="02D28D13" w14:textId="00664D25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Wzór</w:t>
      </w:r>
      <w:r w:rsidRPr="002E4C10">
        <w:rPr>
          <w:sz w:val="18"/>
          <w:szCs w:val="18"/>
        </w:rPr>
        <w:t xml:space="preserve"> </w:t>
      </w:r>
      <w:r w:rsidR="00DE504A" w:rsidRPr="002E4C10">
        <w:rPr>
          <w:sz w:val="18"/>
          <w:szCs w:val="18"/>
        </w:rPr>
        <w:t>U</w:t>
      </w:r>
      <w:r w:rsidRPr="002E4C10">
        <w:rPr>
          <w:sz w:val="18"/>
          <w:szCs w:val="18"/>
        </w:rPr>
        <w:t xml:space="preserve">mowy nr </w:t>
      </w:r>
      <w:r w:rsidR="00952717">
        <w:rPr>
          <w:sz w:val="18"/>
          <w:szCs w:val="18"/>
        </w:rPr>
        <w:t>25DFBT9</w:t>
      </w:r>
      <w:r w:rsidR="00024474">
        <w:rPr>
          <w:sz w:val="18"/>
          <w:szCs w:val="18"/>
        </w:rPr>
        <w:t>97</w:t>
      </w:r>
      <w:r w:rsidR="00DE518D" w:rsidRPr="002E4C10">
        <w:rPr>
          <w:sz w:val="18"/>
          <w:szCs w:val="18"/>
        </w:rPr>
        <w:t xml:space="preserve"> wraz z załącznikami</w:t>
      </w:r>
      <w:r w:rsidR="00F536EE" w:rsidRPr="002E4C10">
        <w:rPr>
          <w:sz w:val="18"/>
          <w:szCs w:val="18"/>
        </w:rPr>
        <w:t>,</w:t>
      </w:r>
      <w:r w:rsidR="00DE518D" w:rsidRPr="002E4C10">
        <w:rPr>
          <w:sz w:val="18"/>
          <w:szCs w:val="18"/>
        </w:rPr>
        <w:t xml:space="preserve"> </w:t>
      </w:r>
    </w:p>
    <w:p w14:paraId="2163EB99" w14:textId="5EE7D1AC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1F6D5163" w14:textId="1573C14D" w:rsidR="00FC04A8" w:rsidRPr="006235EF" w:rsidRDefault="00CD6080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 w:rsidRPr="00952717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952717">
        <w:rPr>
          <w:sz w:val="18"/>
          <w:szCs w:val="18"/>
        </w:rPr>
        <w:t xml:space="preserve"> </w:t>
      </w:r>
      <w:r w:rsidR="00EA7AF6" w:rsidRPr="00952717">
        <w:rPr>
          <w:sz w:val="18"/>
          <w:szCs w:val="18"/>
        </w:rPr>
        <w:t>„</w:t>
      </w:r>
      <w:r w:rsidRPr="00952717">
        <w:rPr>
          <w:sz w:val="18"/>
          <w:szCs w:val="18"/>
        </w:rPr>
        <w:t xml:space="preserve">Wykaz </w:t>
      </w:r>
      <w:r w:rsidR="001C6833" w:rsidRPr="00952717">
        <w:rPr>
          <w:sz w:val="18"/>
          <w:szCs w:val="18"/>
        </w:rPr>
        <w:t>Podwykonawc</w:t>
      </w:r>
      <w:r w:rsidRPr="00952717">
        <w:rPr>
          <w:sz w:val="18"/>
          <w:szCs w:val="18"/>
        </w:rPr>
        <w:t>ów</w:t>
      </w:r>
      <w:r w:rsidR="00EA7AF6" w:rsidRPr="00952717">
        <w:rPr>
          <w:sz w:val="18"/>
          <w:szCs w:val="18"/>
        </w:rPr>
        <w:t>”</w:t>
      </w:r>
      <w:r w:rsidR="001C6833" w:rsidRPr="00952717">
        <w:rPr>
          <w:sz w:val="18"/>
          <w:szCs w:val="18"/>
        </w:rPr>
        <w:t xml:space="preserve"> (jeśli dotyczy)</w:t>
      </w:r>
      <w:r w:rsidR="006235EF">
        <w:rPr>
          <w:sz w:val="18"/>
          <w:szCs w:val="18"/>
        </w:rPr>
        <w:t>,</w:t>
      </w:r>
    </w:p>
    <w:p w14:paraId="374DEEDE" w14:textId="75282EEA" w:rsidR="006235EF" w:rsidRPr="00952717" w:rsidRDefault="006235EF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>
        <w:rPr>
          <w:sz w:val="18"/>
          <w:szCs w:val="18"/>
        </w:rPr>
        <w:t xml:space="preserve">Klauzula informacyjna dla Oferentów. </w:t>
      </w:r>
    </w:p>
    <w:p w14:paraId="62DDEE2D" w14:textId="77777777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4F76840" w14:textId="4CF7E052" w:rsidR="004E3159" w:rsidRPr="00952717" w:rsidRDefault="00C4433E" w:rsidP="00952717">
      <w:pPr>
        <w:pStyle w:val="Nagwek2"/>
        <w:spacing w:line="276" w:lineRule="auto"/>
        <w:ind w:left="576"/>
        <w:rPr>
          <w:b w:val="0"/>
          <w:u w:val="none"/>
          <w:lang w:bidi="ar-SA"/>
        </w:rPr>
      </w:pPr>
      <w:r w:rsidRPr="00FF4B6F">
        <w:rPr>
          <w:b w:val="0"/>
          <w:u w:val="none"/>
        </w:rPr>
        <w:t>Szczegółowy przedmiot</w:t>
      </w:r>
      <w:r w:rsidR="004E03D7" w:rsidRPr="00FF4B6F">
        <w:rPr>
          <w:b w:val="0"/>
          <w:u w:val="none"/>
        </w:rPr>
        <w:t xml:space="preserve">, zakres </w:t>
      </w:r>
      <w:r w:rsidRPr="00FF4B6F">
        <w:rPr>
          <w:b w:val="0"/>
          <w:u w:val="none"/>
        </w:rPr>
        <w:t xml:space="preserve">i warunki </w:t>
      </w:r>
      <w:r w:rsidR="004E03D7" w:rsidRPr="00FF4B6F">
        <w:rPr>
          <w:b w:val="0"/>
          <w:u w:val="none"/>
        </w:rPr>
        <w:t>wykonania</w:t>
      </w:r>
      <w:r w:rsidRPr="00FF4B6F">
        <w:rPr>
          <w:b w:val="0"/>
          <w:u w:val="none"/>
        </w:rPr>
        <w:t xml:space="preserve"> Zapytania Ofertowego znajduj</w:t>
      </w:r>
      <w:r w:rsidR="009D6900" w:rsidRPr="00FF4B6F">
        <w:rPr>
          <w:b w:val="0"/>
          <w:u w:val="none"/>
        </w:rPr>
        <w:t>ą</w:t>
      </w:r>
      <w:r w:rsidRPr="00FF4B6F">
        <w:rPr>
          <w:b w:val="0"/>
          <w:u w:val="none"/>
        </w:rPr>
        <w:t xml:space="preserve"> się </w:t>
      </w:r>
      <w:r w:rsidR="004E03D7" w:rsidRPr="00FF4B6F">
        <w:rPr>
          <w:b w:val="0"/>
          <w:szCs w:val="20"/>
          <w:u w:val="none"/>
        </w:rPr>
        <w:t xml:space="preserve">w załączonym wzorze </w:t>
      </w:r>
      <w:r w:rsidR="004E03D7" w:rsidRPr="00952717">
        <w:rPr>
          <w:b w:val="0"/>
          <w:szCs w:val="20"/>
          <w:u w:val="none"/>
        </w:rPr>
        <w:t xml:space="preserve">Umowy nr </w:t>
      </w:r>
      <w:r w:rsidR="00952717">
        <w:rPr>
          <w:b w:val="0"/>
          <w:szCs w:val="20"/>
          <w:u w:val="none"/>
        </w:rPr>
        <w:t>25DFBT9</w:t>
      </w:r>
      <w:r w:rsidR="00024474">
        <w:rPr>
          <w:b w:val="0"/>
          <w:szCs w:val="20"/>
          <w:u w:val="none"/>
        </w:rPr>
        <w:t>97 wraz załącznikami</w:t>
      </w:r>
      <w:r w:rsidR="004E03D7" w:rsidRPr="00FF4B6F">
        <w:rPr>
          <w:b w:val="0"/>
          <w:u w:val="none"/>
          <w:lang w:bidi="ar-SA"/>
        </w:rPr>
        <w:t>.</w:t>
      </w:r>
    </w:p>
    <w:p w14:paraId="032A2A77" w14:textId="5FF7F40E" w:rsidR="00A74EC7" w:rsidRPr="002E4C10" w:rsidRDefault="00A74EC7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1C46C0CF" w:rsidR="00A74EC7" w:rsidRPr="002E4C10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937A53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F40722" w:rsidRPr="00F40722">
        <w:rPr>
          <w:b/>
          <w:bCs/>
          <w:sz w:val="18"/>
          <w:szCs w:val="18"/>
        </w:rPr>
        <w:t>12.10.2026</w:t>
      </w:r>
      <w:r w:rsidR="00F40722">
        <w:t xml:space="preserve"> </w:t>
      </w:r>
      <w:r w:rsidR="00952717">
        <w:rPr>
          <w:rFonts w:eastAsia="Times New Roman"/>
          <w:b/>
          <w:bCs/>
          <w:iCs/>
          <w:sz w:val="18"/>
          <w:szCs w:val="18"/>
          <w:lang w:bidi="ar-SA"/>
        </w:rPr>
        <w:t>r.</w:t>
      </w:r>
    </w:p>
    <w:p w14:paraId="789703D3" w14:textId="49576D6B" w:rsidR="00A74EC7" w:rsidRPr="00952717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Miejsce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przedmiotu zamówienia</w:t>
      </w:r>
      <w:r w:rsidR="00693CC7" w:rsidRPr="002E4C10">
        <w:rPr>
          <w:rFonts w:eastAsia="Times New Roman"/>
          <w:bCs/>
          <w:iCs/>
          <w:sz w:val="18"/>
          <w:szCs w:val="18"/>
          <w:lang w:bidi="ar-SA"/>
        </w:rPr>
        <w:t xml:space="preserve"> wskazano we </w:t>
      </w:r>
      <w:r w:rsidR="00693CC7" w:rsidRPr="00952717">
        <w:rPr>
          <w:rFonts w:eastAsia="Times New Roman"/>
          <w:bCs/>
          <w:iCs/>
          <w:sz w:val="18"/>
          <w:szCs w:val="18"/>
          <w:lang w:bidi="ar-SA"/>
        </w:rPr>
        <w:t>wzorze umowy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 xml:space="preserve"> 25DFBT9</w:t>
      </w:r>
      <w:r w:rsidR="00024474">
        <w:rPr>
          <w:rFonts w:eastAsia="Times New Roman"/>
          <w:bCs/>
          <w:iCs/>
          <w:sz w:val="18"/>
          <w:szCs w:val="18"/>
          <w:lang w:bidi="ar-SA"/>
        </w:rPr>
        <w:t>97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547AB5DB" w14:textId="536E20CE" w:rsidR="00A74EC7" w:rsidRPr="002E4C10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lastRenderedPageBreak/>
        <w:t xml:space="preserve">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mowa w §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5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ust.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1.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 </w:t>
      </w:r>
    </w:p>
    <w:p w14:paraId="60261C4A" w14:textId="77777777" w:rsidR="00965F06" w:rsidRPr="002E4C10" w:rsidRDefault="00965F06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2ED5767" w:rsidR="00BD1D5A" w:rsidRPr="003F6AA8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263ED8B8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</w:t>
      </w:r>
      <w:r w:rsidR="00952717">
        <w:rPr>
          <w:b/>
          <w:bCs/>
          <w:sz w:val="18"/>
          <w:szCs w:val="18"/>
        </w:rPr>
        <w:t xml:space="preserve"> </w:t>
      </w:r>
      <w:r w:rsidRPr="00FF4B6F">
        <w:rPr>
          <w:b/>
          <w:bCs/>
          <w:sz w:val="18"/>
          <w:szCs w:val="18"/>
        </w:rPr>
        <w:t>dokumenty wymagane poniższymi kryteriami.</w:t>
      </w:r>
    </w:p>
    <w:p w14:paraId="17601EBD" w14:textId="77777777" w:rsidR="00956C3E" w:rsidRPr="002E4C10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 xml:space="preserve">W przypadku przedłożenia oferty niekompletnej Dostawca zobowiązany będzie do jej uzupełnienia w wyznaczonym terminie. Brak uzupełnienia oferty przez Dostawcę w wyznaczonym terminie spowoduje </w:t>
      </w:r>
      <w:r w:rsidRPr="00FF4B6F">
        <w:rPr>
          <w:sz w:val="18"/>
          <w:szCs w:val="18"/>
        </w:rPr>
        <w:lastRenderedPageBreak/>
        <w:t>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56ECA60" w14:textId="77777777" w:rsidR="00956C3E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0107CE">
        <w:rPr>
          <w:sz w:val="18"/>
          <w:szCs w:val="18"/>
        </w:rPr>
        <w:t>o</w:t>
      </w:r>
      <w:r>
        <w:rPr>
          <w:sz w:val="18"/>
          <w:szCs w:val="18"/>
        </w:rPr>
        <w:t> </w:t>
      </w:r>
      <w:r w:rsidRPr="000107CE">
        <w:rPr>
          <w:sz w:val="18"/>
          <w:szCs w:val="18"/>
        </w:rPr>
        <w:t>niezaleganiu w opłacaniu podatków oraz składek na ubezpieczenia społeczne</w:t>
      </w:r>
      <w:r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 xml:space="preserve">– wymóg dotyczy podmiotów krajowych, </w:t>
      </w:r>
    </w:p>
    <w:p w14:paraId="097401CF" w14:textId="77777777" w:rsidR="00956C3E" w:rsidRPr="00EB3810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EB3810">
        <w:rPr>
          <w:sz w:val="18"/>
          <w:szCs w:val="18"/>
        </w:rPr>
        <w:t>Potwierdzenie</w:t>
      </w:r>
      <w:r w:rsidRPr="00EB3810">
        <w:rPr>
          <w:sz w:val="18"/>
        </w:rPr>
        <w:t xml:space="preserve"> odbycia obowiązkowej wizji lokalnej zgodnie z formularzem „Oświadczenia”; (jeśli dotyczy);</w:t>
      </w:r>
    </w:p>
    <w:p w14:paraId="035B4239" w14:textId="4C16F5F9" w:rsidR="0050366D" w:rsidRPr="00C64B7E" w:rsidRDefault="0050366D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Przedstawienie dokumentów finansowych</w:t>
      </w:r>
      <w:r w:rsidR="00937A53" w:rsidRPr="00C64B7E">
        <w:rPr>
          <w:sz w:val="18"/>
          <w:szCs w:val="18"/>
        </w:rPr>
        <w:t xml:space="preserve"> (</w:t>
      </w:r>
      <w:r w:rsidR="00FD5BC7" w:rsidRPr="00C64B7E">
        <w:rPr>
          <w:sz w:val="18"/>
          <w:szCs w:val="18"/>
        </w:rPr>
        <w:t xml:space="preserve">do uzupełnienia - </w:t>
      </w:r>
      <w:r w:rsidR="00937A53" w:rsidRPr="00C64B7E">
        <w:rPr>
          <w:sz w:val="18"/>
          <w:szCs w:val="18"/>
        </w:rPr>
        <w:t>jeśli będzie dotyczyć)</w:t>
      </w:r>
      <w:r w:rsidRPr="00C64B7E">
        <w:rPr>
          <w:sz w:val="18"/>
          <w:szCs w:val="18"/>
        </w:rPr>
        <w:t>:</w:t>
      </w:r>
    </w:p>
    <w:p w14:paraId="1A1FECCE" w14:textId="41124E45" w:rsidR="00785CC3" w:rsidRPr="00C64B7E" w:rsidRDefault="00785CC3" w:rsidP="006013F5">
      <w:pPr>
        <w:pStyle w:val="Nagwek2"/>
        <w:numPr>
          <w:ilvl w:val="0"/>
          <w:numId w:val="21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64B7E">
        <w:rPr>
          <w:b w:val="0"/>
          <w:bCs w:val="0"/>
          <w:u w:val="none"/>
        </w:rPr>
        <w:t xml:space="preserve">dla Dostawcy prowadzącego pełną księgowość - jednostkowy bilans, rachunek zysków i strat oraz dla podmiotów zobowiązanych do jego sporządzenia, rachunek przepływów pieniężnych; </w:t>
      </w:r>
      <w:r w:rsidR="006013F5" w:rsidRPr="00C64B7E">
        <w:rPr>
          <w:b w:val="0"/>
          <w:bCs w:val="0"/>
          <w:u w:val="none"/>
        </w:rPr>
        <w:t xml:space="preserve"> p</w:t>
      </w:r>
      <w:r w:rsidRPr="00C64B7E">
        <w:rPr>
          <w:b w:val="0"/>
          <w:bCs w:val="0"/>
          <w:u w:val="none"/>
        </w:rPr>
        <w:t>onadto w sytuacjach wymagających dodatkowych wyjaśnień:</w:t>
      </w:r>
    </w:p>
    <w:p w14:paraId="795CC28D" w14:textId="77777777" w:rsidR="006013F5" w:rsidRPr="00C64B7E" w:rsidRDefault="006013F5" w:rsidP="006013F5">
      <w:pPr>
        <w:autoSpaceDE/>
        <w:autoSpaceDN/>
        <w:spacing w:before="120" w:line="276" w:lineRule="auto"/>
        <w:ind w:firstLine="720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Dostawca powinien dostarczyć sprawozdanie finansowe:</w:t>
      </w:r>
    </w:p>
    <w:p w14:paraId="76A08CF6" w14:textId="625284D0" w:rsidR="006013F5" w:rsidRPr="00C64B7E" w:rsidRDefault="006013F5" w:rsidP="00CF7FA1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 xml:space="preserve">sporządzone w formie elektronicznej i podpisane przez osobę sporządzającą i kierownika jednostki zgodnie z wymogami właściwych przepisów lub </w:t>
      </w:r>
    </w:p>
    <w:p w14:paraId="084CAF62" w14:textId="474F3463" w:rsidR="006013F5" w:rsidRPr="00C64B7E" w:rsidRDefault="006013F5" w:rsidP="00CF7FA1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skan podpisanego sprawozdania finansowego w formie PDF</w:t>
      </w:r>
      <w:r w:rsidR="00CF7FA1">
        <w:rPr>
          <w:sz w:val="18"/>
          <w:szCs w:val="18"/>
        </w:rPr>
        <w:t>.</w:t>
      </w:r>
    </w:p>
    <w:p w14:paraId="00F0F961" w14:textId="6686DA9C" w:rsidR="006013F5" w:rsidRPr="00C64B7E" w:rsidRDefault="006013F5" w:rsidP="006013F5">
      <w:pPr>
        <w:autoSpaceDE/>
        <w:autoSpaceDN/>
        <w:spacing w:before="120" w:line="276" w:lineRule="auto"/>
        <w:ind w:left="720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Dokumenty, o których mowa powyżej, powinny obejmować okres dwóch pełnych lat sprawozdawczych (chyba że okres prowadzenia działalności jest krótszy, wówczas dokumenty powinny dotyczyć całego okresu prowadzenia działalności)</w:t>
      </w:r>
      <w:r w:rsidR="00C64B7E" w:rsidRPr="00C64B7E">
        <w:rPr>
          <w:sz w:val="18"/>
          <w:szCs w:val="18"/>
        </w:rPr>
        <w:t>:</w:t>
      </w:r>
      <w:r w:rsidRPr="00C64B7E">
        <w:rPr>
          <w:sz w:val="18"/>
          <w:szCs w:val="18"/>
        </w:rPr>
        <w:t xml:space="preserve"> </w:t>
      </w:r>
    </w:p>
    <w:p w14:paraId="379BA93F" w14:textId="2BD89AEB" w:rsidR="006013F5" w:rsidRPr="00C64B7E" w:rsidRDefault="006013F5" w:rsidP="00CF7FA1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najbardziej aktualne kwartalne sprawozdanie za bieżący okres (bilans i rachunek zysków i strat lub F01) oraz analogiczne za poprzedni rok</w:t>
      </w:r>
      <w:r w:rsidR="00C64B7E">
        <w:rPr>
          <w:sz w:val="18"/>
          <w:szCs w:val="18"/>
        </w:rPr>
        <w:t>;</w:t>
      </w:r>
    </w:p>
    <w:p w14:paraId="6EB4B01B" w14:textId="5A422F23" w:rsidR="00785CC3" w:rsidRPr="00C64B7E" w:rsidRDefault="00785CC3" w:rsidP="006013F5">
      <w:pPr>
        <w:pStyle w:val="Nagwek2"/>
        <w:numPr>
          <w:ilvl w:val="0"/>
          <w:numId w:val="21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64B7E">
        <w:rPr>
          <w:b w:val="0"/>
          <w:bCs w:val="0"/>
          <w:u w:val="none"/>
        </w:rPr>
        <w:t xml:space="preserve">dla Dostawcy prowadzącego uproszczoną księgowość – roczne rozliczenie PIT wszystkich wspólników wraz z Urzędowym Potwierdzeniem Odbioru (UPO), oświadczenie o zobowiązaniach, </w:t>
      </w:r>
    </w:p>
    <w:p w14:paraId="24D4DC65" w14:textId="71021B23" w:rsidR="00785CC3" w:rsidRPr="00C64B7E" w:rsidRDefault="00785CC3" w:rsidP="006013F5">
      <w:pPr>
        <w:pStyle w:val="Nagwek2"/>
        <w:numPr>
          <w:ilvl w:val="0"/>
          <w:numId w:val="21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64B7E">
        <w:rPr>
          <w:b w:val="0"/>
          <w:bCs w:val="0"/>
          <w:u w:val="none"/>
        </w:rPr>
        <w:t>dla Dostawcy zagranicznego – jednostkowy bilans, rachunek zysków i strat oraz rachunek przepływów pieniężnych dla podmiotów zobligowanych do jego sporządzenia, dokument zawierający odpowiedni numer identyfikacji podatkowej, ponadto, w sytuacji wymagającej dodatkowych wyjaśnienie, kwartalne sprawozdania za bieżący okres odpowiadające mu za okres ubiegły (bilans, rachunek zysków i strat).</w:t>
      </w:r>
    </w:p>
    <w:p w14:paraId="3E4A8F66" w14:textId="13235A24" w:rsidR="00402C82" w:rsidRPr="00952717" w:rsidRDefault="007D1DAF" w:rsidP="00C64B7E">
      <w:pPr>
        <w:pStyle w:val="Akapitzlist"/>
        <w:tabs>
          <w:tab w:val="left" w:pos="993"/>
        </w:tabs>
        <w:autoSpaceDE/>
        <w:autoSpaceDN/>
        <w:spacing w:before="120" w:line="276" w:lineRule="auto"/>
        <w:ind w:left="993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 </w:t>
      </w:r>
    </w:p>
    <w:p w14:paraId="26004E11" w14:textId="0E09DB2B" w:rsidR="0050366D" w:rsidRPr="00952717" w:rsidRDefault="0050366D" w:rsidP="00917004">
      <w:pPr>
        <w:autoSpaceDE/>
        <w:autoSpaceDN/>
        <w:spacing w:before="120" w:line="276" w:lineRule="auto"/>
        <w:ind w:firstLine="568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>Wszystkie dokumenty muszą zostać podpisane i poświadczone za zgodność z oryginałem.</w:t>
      </w:r>
    </w:p>
    <w:p w14:paraId="09F7ECE5" w14:textId="7711A36F" w:rsidR="0050366D" w:rsidRPr="00952717" w:rsidRDefault="0050366D" w:rsidP="0050366D">
      <w:pPr>
        <w:pStyle w:val="Akapitzlist"/>
        <w:spacing w:before="120" w:line="276" w:lineRule="auto"/>
        <w:ind w:left="996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>Zamawiający ma prawo zażądać ww. dokumentów finansowych na każdym etapie postępowania.</w:t>
      </w:r>
    </w:p>
    <w:p w14:paraId="0747B3A2" w14:textId="18D94EA7" w:rsidR="0050366D" w:rsidRPr="00952717" w:rsidRDefault="0050366D" w:rsidP="00917004">
      <w:pPr>
        <w:pStyle w:val="Akapitzlist"/>
        <w:spacing w:before="120" w:line="276" w:lineRule="auto"/>
        <w:ind w:left="567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Zamawiający zastrzega sobie prawo żądania od </w:t>
      </w:r>
      <w:r w:rsidR="007D1DAF" w:rsidRPr="00952717">
        <w:rPr>
          <w:sz w:val="18"/>
          <w:szCs w:val="18"/>
        </w:rPr>
        <w:t>Dostawcy</w:t>
      </w:r>
      <w:r w:rsidRPr="00952717">
        <w:rPr>
          <w:sz w:val="18"/>
          <w:szCs w:val="18"/>
        </w:rPr>
        <w:t xml:space="preserve"> zabezpieczenia kontraktu w formie gwarancji bankowej lub ubezpieczeniowej złożonej na okres realizacji prac oraz na okres udzielonej gwarancji. </w:t>
      </w:r>
    </w:p>
    <w:p w14:paraId="45931B8C" w14:textId="77777777" w:rsidR="0050366D" w:rsidRPr="0050366D" w:rsidRDefault="0050366D" w:rsidP="00917004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  <w:highlight w:val="yellow"/>
        </w:rPr>
      </w:pP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4502785A" w14:textId="77777777" w:rsidR="00956C3E" w:rsidRPr="00FF4B6F" w:rsidRDefault="00956C3E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Potwierdzenie, czy przedmiotowe prace zostaną wykonane w całości samodzielnie przez firmę Dostawcy. W przypadku udziału dalszego podwykonawcy należy zaznaczyć odpowiedź „NIE” oraz należy przedstawić w</w:t>
      </w:r>
      <w:r>
        <w:rPr>
          <w:sz w:val="18"/>
          <w:szCs w:val="18"/>
        </w:rPr>
        <w:t> </w:t>
      </w:r>
      <w:r w:rsidRPr="00FF4B6F">
        <w:rPr>
          <w:sz w:val="18"/>
          <w:szCs w:val="18"/>
        </w:rPr>
        <w:t>formie podpisanego Formularza „Wykaz Podwykonawców (załącznik do Zapytania Ofertowego): dane firmy dalszego podwykonawcy (nazwa, adres siedziby, NIP), zakres powierzony dalszemu podwykonawcy;</w:t>
      </w:r>
    </w:p>
    <w:p w14:paraId="30F31517" w14:textId="4C5979E7" w:rsidR="00956C3E" w:rsidRPr="00FD5BC7" w:rsidRDefault="00FD5BC7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D5BC7">
        <w:rPr>
          <w:sz w:val="18"/>
          <w:szCs w:val="18"/>
        </w:rPr>
        <w:t xml:space="preserve">Wykaz przynajmniej 3 (trzech) zrealizowanych zamówień polegających na wykonaniu w okresie ostatnich 5 lat </w:t>
      </w:r>
      <w:r w:rsidRPr="00FD5BC7">
        <w:rPr>
          <w:sz w:val="18"/>
          <w:szCs w:val="18"/>
        </w:rPr>
        <w:lastRenderedPageBreak/>
        <w:t>przed upływem terminu składania ofert, a jeżeli okres prowadzenia działalności jest krótszy - w tym okresie, prac / zamówień zbliżonych zakresem do zakresu przedmiotu zamówienia,  z podaniem ich rodzaju i wartości, daty i miejsca wykonania oraz dokumenty potwierdzające należyte wykonanie (protokoły końcowe odbioru z koniecznie wyszczególnionymi danymi tj. kwota umowy, kwota realizacji, dni opóźnienia z winy Wykonawcy, wielkości kar lub listy referencyjne</w:t>
      </w:r>
      <w:r w:rsidR="00956C3E" w:rsidRPr="00FD5BC7">
        <w:rPr>
          <w:sz w:val="18"/>
          <w:szCs w:val="18"/>
        </w:rPr>
        <w:t>).</w:t>
      </w:r>
    </w:p>
    <w:p w14:paraId="7A51469C" w14:textId="0FAA084C" w:rsidR="00132AA6" w:rsidRDefault="00132AA6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Oświadczeni</w:t>
      </w:r>
      <w:r w:rsidR="00AC321F">
        <w:rPr>
          <w:sz w:val="18"/>
          <w:szCs w:val="18"/>
        </w:rPr>
        <w:t>e</w:t>
      </w:r>
      <w:r>
        <w:rPr>
          <w:sz w:val="18"/>
          <w:szCs w:val="18"/>
        </w:rPr>
        <w:t xml:space="preserve"> </w:t>
      </w:r>
      <w:r w:rsidR="00AC321F">
        <w:rPr>
          <w:sz w:val="18"/>
          <w:szCs w:val="18"/>
        </w:rPr>
        <w:t xml:space="preserve">Dostawcy potwierdzające potencjalne kadrowy: </w:t>
      </w:r>
    </w:p>
    <w:p w14:paraId="3E77B585" w14:textId="77777777" w:rsidR="00132AA6" w:rsidRPr="00FD5BC7" w:rsidRDefault="00132AA6" w:rsidP="0075719F">
      <w:pPr>
        <w:pStyle w:val="Akapitzlist"/>
        <w:numPr>
          <w:ilvl w:val="1"/>
          <w:numId w:val="11"/>
        </w:numPr>
        <w:spacing w:before="120" w:line="276" w:lineRule="auto"/>
        <w:ind w:left="1420"/>
        <w:jc w:val="both"/>
        <w:outlineLvl w:val="1"/>
        <w:rPr>
          <w:sz w:val="18"/>
          <w:szCs w:val="18"/>
        </w:rPr>
      </w:pPr>
      <w:r w:rsidRPr="00FD5BC7">
        <w:rPr>
          <w:sz w:val="18"/>
          <w:szCs w:val="18"/>
        </w:rPr>
        <w:t>Osoby kierujące zespołami pracowników posiadają świadectwa kwalifikacyjne typu D lub E upoważniające do prowadzenia prac na obiektach i urządzeniach energetycznych.</w:t>
      </w:r>
    </w:p>
    <w:p w14:paraId="45B958E6" w14:textId="4C98321A" w:rsidR="00132AA6" w:rsidRPr="00FD5BC7" w:rsidRDefault="00132AA6" w:rsidP="0075719F">
      <w:pPr>
        <w:pStyle w:val="Akapitzlist"/>
        <w:numPr>
          <w:ilvl w:val="1"/>
          <w:numId w:val="11"/>
        </w:numPr>
        <w:spacing w:before="120" w:line="276" w:lineRule="auto"/>
        <w:ind w:left="1420"/>
        <w:jc w:val="both"/>
        <w:outlineLvl w:val="1"/>
        <w:rPr>
          <w:sz w:val="18"/>
          <w:szCs w:val="18"/>
        </w:rPr>
      </w:pPr>
      <w:r w:rsidRPr="00FD5BC7">
        <w:rPr>
          <w:sz w:val="18"/>
          <w:szCs w:val="18"/>
        </w:rPr>
        <w:t>Wykonywaniu podobnych prac w energetyce.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2685D683" w:rsidR="00956C3E" w:rsidRDefault="00956C3E" w:rsidP="0075719F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="00024474">
        <w:rPr>
          <w:sz w:val="18"/>
          <w:szCs w:val="18"/>
        </w:rPr>
        <w:t xml:space="preserve">podpisanego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</w:t>
      </w:r>
      <w:r w:rsidR="00024474">
        <w:rPr>
          <w:sz w:val="18"/>
          <w:szCs w:val="18"/>
        </w:rPr>
        <w:t xml:space="preserve"> oraz Załącznik nr 1 _Cennik i zakres prac</w:t>
      </w:r>
      <w:r w:rsidRPr="00FF4B6F">
        <w:rPr>
          <w:sz w:val="18"/>
          <w:szCs w:val="18"/>
        </w:rPr>
        <w:t>;</w:t>
      </w:r>
    </w:p>
    <w:p w14:paraId="67A03C85" w14:textId="05C6E0E5" w:rsidR="00956C3E" w:rsidRPr="00956C3E" w:rsidRDefault="00956C3E" w:rsidP="0075719F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132AA6">
        <w:rPr>
          <w:b/>
          <w:sz w:val="18"/>
        </w:rPr>
        <w:t>100%</w:t>
      </w:r>
      <w:r w:rsidRPr="00956C3E">
        <w:rPr>
          <w:bCs/>
          <w:sz w:val="18"/>
        </w:rPr>
        <w:t>.</w:t>
      </w:r>
    </w:p>
    <w:p w14:paraId="5243C875" w14:textId="7039773C" w:rsidR="006D31C6" w:rsidRPr="002E4C10" w:rsidRDefault="00C1418F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1" o:title=""/>
          </v:shape>
          <o:OLEObject Type="Embed" ProgID="Equation.3" ShapeID="_x0000_i1025" DrawAspect="Content" ObjectID="_1830052541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D32073E" w14:textId="6B86FC5C" w:rsidR="0010270F" w:rsidRPr="0010270F" w:rsidRDefault="0010270F" w:rsidP="0010270F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rFonts w:eastAsia="Times New Roman"/>
          <w:b/>
          <w:iCs/>
          <w:color w:val="FF0000"/>
          <w:sz w:val="18"/>
          <w:szCs w:val="18"/>
          <w:lang w:bidi="ar-SA"/>
        </w:rPr>
      </w:pP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UWAGA</w:t>
      </w:r>
      <w:r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!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Ceny jednostkowe</w:t>
      </w:r>
      <w:r w:rsidR="00F40722"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 po negocjacjach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poszczególnych pozycji w tabelach Załącznika nr 1 – Cennik i zakres prac nie mogą być wyższe niż ceny zaoferowane w rundzie nr 1.</w:t>
      </w:r>
    </w:p>
    <w:p w14:paraId="0A7EE82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4AC9451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132AA6">
        <w:rPr>
          <w:sz w:val="18"/>
          <w:szCs w:val="18"/>
        </w:rPr>
        <w:t xml:space="preserve">elektronicznej </w:t>
      </w:r>
      <w:r w:rsidRPr="00132AA6">
        <w:rPr>
          <w:sz w:val="18"/>
          <w:szCs w:val="18"/>
        </w:rPr>
        <w:t>i/lub negocjacje handlowe.</w:t>
      </w:r>
    </w:p>
    <w:p w14:paraId="7E513024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Oferta </w:t>
      </w:r>
      <w:r w:rsidR="005F28C3" w:rsidRPr="00132AA6">
        <w:rPr>
          <w:sz w:val="18"/>
          <w:szCs w:val="18"/>
        </w:rPr>
        <w:t>Dostawcy</w:t>
      </w:r>
      <w:r w:rsidRPr="00132AA6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16E585F8" w:rsidR="00956C3E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Niniejsze szczegółowe warunki wyboru ofert nie mogą być zmienione przez </w:t>
      </w:r>
      <w:r w:rsidR="005F28C3" w:rsidRPr="00132AA6">
        <w:rPr>
          <w:sz w:val="18"/>
          <w:szCs w:val="18"/>
        </w:rPr>
        <w:t>Dostawcę</w:t>
      </w:r>
      <w:r w:rsidRPr="00132AA6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lastRenderedPageBreak/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4C7DE23E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(</w:t>
      </w:r>
      <w:r w:rsidRPr="00132AA6">
        <w:rPr>
          <w:sz w:val="18"/>
          <w:szCs w:val="18"/>
        </w:rPr>
        <w:t>100%</w:t>
      </w:r>
      <w:r w:rsidRPr="00FF4B6F">
        <w:rPr>
          <w:sz w:val="18"/>
          <w:szCs w:val="18"/>
        </w:rPr>
        <w:t xml:space="preserve">) - </w:t>
      </w:r>
      <w:r w:rsidRPr="00132AA6">
        <w:rPr>
          <w:sz w:val="18"/>
          <w:szCs w:val="18"/>
        </w:rPr>
        <w:t>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024474">
        <w:rPr>
          <w:sz w:val="18"/>
          <w:szCs w:val="18"/>
        </w:rPr>
        <w:t>W</w:t>
      </w:r>
      <w:r w:rsidR="002B1772" w:rsidRPr="00FF4B6F">
        <w:rPr>
          <w:sz w:val="18"/>
          <w:szCs w:val="18"/>
        </w:rPr>
        <w:t>ynagrodzeni</w:t>
      </w:r>
      <w:r w:rsidR="00024474">
        <w:rPr>
          <w:sz w:val="18"/>
          <w:szCs w:val="18"/>
        </w:rPr>
        <w:t>e</w:t>
      </w:r>
      <w:r w:rsidR="002B1772" w:rsidRPr="00FF4B6F">
        <w:rPr>
          <w:sz w:val="18"/>
          <w:szCs w:val="18"/>
        </w:rPr>
        <w:t>”</w:t>
      </w:r>
      <w:r w:rsidR="00024474">
        <w:rPr>
          <w:sz w:val="18"/>
          <w:szCs w:val="18"/>
        </w:rPr>
        <w:t xml:space="preserve"> wraz Załącznikiem nr 1 – Cennik i zakres prac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402"/>
        <w:gridCol w:w="4252"/>
      </w:tblGrid>
      <w:tr w:rsidR="001C006C" w:rsidRPr="00E11BB4" w14:paraId="7D3D8644" w14:textId="77777777" w:rsidTr="00917004">
        <w:trPr>
          <w:cantSplit/>
          <w:trHeight w:val="365"/>
          <w:jc w:val="center"/>
        </w:trPr>
        <w:tc>
          <w:tcPr>
            <w:tcW w:w="1276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252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917004">
        <w:trPr>
          <w:cantSplit/>
          <w:trHeight w:val="524"/>
          <w:jc w:val="center"/>
        </w:trPr>
        <w:tc>
          <w:tcPr>
            <w:tcW w:w="1276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402" w:type="dxa"/>
            <w:vAlign w:val="center"/>
          </w:tcPr>
          <w:p w14:paraId="1CFE612E" w14:textId="5A2DD3C3" w:rsidR="001C006C" w:rsidRPr="00132AA6" w:rsidRDefault="00F40722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Karolina Siemińska</w:t>
            </w:r>
          </w:p>
        </w:tc>
        <w:tc>
          <w:tcPr>
            <w:tcW w:w="4252" w:type="dxa"/>
            <w:vAlign w:val="center"/>
          </w:tcPr>
          <w:p w14:paraId="65E2D350" w14:textId="3EC94B39" w:rsidR="001C006C" w:rsidRPr="00132AA6" w:rsidRDefault="00937A53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Andrzej Gołębiewski</w:t>
            </w:r>
          </w:p>
        </w:tc>
      </w:tr>
      <w:tr w:rsidR="001C006C" w:rsidRPr="00E11BB4" w14:paraId="498E09C8" w14:textId="77777777" w:rsidTr="00917004">
        <w:trPr>
          <w:cantSplit/>
          <w:trHeight w:val="396"/>
          <w:jc w:val="center"/>
        </w:trPr>
        <w:tc>
          <w:tcPr>
            <w:tcW w:w="1276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402" w:type="dxa"/>
            <w:vAlign w:val="center"/>
          </w:tcPr>
          <w:p w14:paraId="2E451078" w14:textId="4FFEB493" w:rsidR="001C006C" w:rsidRPr="00132AA6" w:rsidRDefault="00F40722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3" w:history="1">
              <w:r w:rsidRPr="00105732">
                <w:rPr>
                  <w:rStyle w:val="Hipercze"/>
                  <w:sz w:val="20"/>
                  <w:szCs w:val="20"/>
                </w:rPr>
                <w:t>karolina.sieminska@termika.orlen.pl</w:t>
              </w:r>
            </w:hyperlink>
          </w:p>
        </w:tc>
        <w:tc>
          <w:tcPr>
            <w:tcW w:w="4252" w:type="dxa"/>
            <w:vAlign w:val="center"/>
          </w:tcPr>
          <w:p w14:paraId="2A95A2A9" w14:textId="44BEE01A" w:rsidR="001C006C" w:rsidRPr="00132AA6" w:rsidRDefault="00937A53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4" w:history="1">
              <w:r w:rsidRPr="00105732">
                <w:rPr>
                  <w:rStyle w:val="Hipercze"/>
                  <w:sz w:val="20"/>
                  <w:szCs w:val="20"/>
                </w:rPr>
                <w:t>andrzej.golebiewski@termika.orlen.pl</w:t>
              </w:r>
            </w:hyperlink>
          </w:p>
        </w:tc>
      </w:tr>
      <w:tr w:rsidR="001C006C" w:rsidRPr="00E11BB4" w14:paraId="2B82E23B" w14:textId="77777777" w:rsidTr="00917004">
        <w:trPr>
          <w:cantSplit/>
          <w:trHeight w:val="157"/>
          <w:jc w:val="center"/>
        </w:trPr>
        <w:tc>
          <w:tcPr>
            <w:tcW w:w="1276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402" w:type="dxa"/>
            <w:vAlign w:val="center"/>
          </w:tcPr>
          <w:p w14:paraId="28CD9744" w14:textId="7EFB28CD" w:rsidR="001C006C" w:rsidRPr="00132AA6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132AA6">
              <w:rPr>
                <w:sz w:val="20"/>
                <w:szCs w:val="20"/>
                <w:lang w:val="sv-SE"/>
              </w:rPr>
              <w:t xml:space="preserve">22 587 </w:t>
            </w:r>
            <w:r w:rsidR="00132AA6" w:rsidRPr="00132AA6">
              <w:rPr>
                <w:sz w:val="20"/>
                <w:szCs w:val="20"/>
                <w:lang w:val="sv-SE"/>
              </w:rPr>
              <w:t xml:space="preserve">84 </w:t>
            </w:r>
            <w:r w:rsidR="00F40722">
              <w:rPr>
                <w:sz w:val="20"/>
                <w:szCs w:val="20"/>
                <w:lang w:val="sv-SE"/>
              </w:rPr>
              <w:t>30</w:t>
            </w:r>
          </w:p>
          <w:p w14:paraId="7230E6AA" w14:textId="7D7D1799" w:rsidR="001C006C" w:rsidRPr="00132AA6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132AA6">
              <w:rPr>
                <w:sz w:val="20"/>
                <w:szCs w:val="20"/>
                <w:lang w:val="sv-SE"/>
              </w:rPr>
              <w:t xml:space="preserve">kom. </w:t>
            </w:r>
            <w:r w:rsidR="00937A53">
              <w:rPr>
                <w:sz w:val="20"/>
                <w:szCs w:val="20"/>
                <w:lang w:val="sv-SE"/>
              </w:rPr>
              <w:t>501 964 382</w:t>
            </w:r>
          </w:p>
        </w:tc>
        <w:tc>
          <w:tcPr>
            <w:tcW w:w="4252" w:type="dxa"/>
            <w:vAlign w:val="center"/>
          </w:tcPr>
          <w:p w14:paraId="23D9EFFC" w14:textId="7B4A789D" w:rsidR="001C006C" w:rsidRPr="00132AA6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132AA6">
              <w:rPr>
                <w:sz w:val="20"/>
                <w:szCs w:val="20"/>
                <w:lang w:val="sv-SE"/>
              </w:rPr>
              <w:t xml:space="preserve">22 587 </w:t>
            </w:r>
            <w:r w:rsidR="00937A53">
              <w:rPr>
                <w:sz w:val="20"/>
                <w:szCs w:val="20"/>
                <w:lang w:val="sv-SE"/>
              </w:rPr>
              <w:t>37 00</w:t>
            </w:r>
          </w:p>
          <w:p w14:paraId="07859A73" w14:textId="7F72B76B" w:rsidR="001C006C" w:rsidRPr="00132AA6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132AA6">
              <w:rPr>
                <w:sz w:val="20"/>
                <w:szCs w:val="20"/>
                <w:lang w:val="sv-SE"/>
              </w:rPr>
              <w:t>kom. 508</w:t>
            </w:r>
            <w:r w:rsidR="00644ADF">
              <w:rPr>
                <w:sz w:val="20"/>
                <w:szCs w:val="20"/>
                <w:lang w:val="sv-SE"/>
              </w:rPr>
              <w:t> </w:t>
            </w:r>
            <w:r w:rsidRPr="00132AA6">
              <w:rPr>
                <w:sz w:val="20"/>
                <w:szCs w:val="20"/>
                <w:lang w:val="sv-SE"/>
              </w:rPr>
              <w:t>005</w:t>
            </w:r>
            <w:r w:rsidR="00644ADF">
              <w:rPr>
                <w:sz w:val="20"/>
                <w:szCs w:val="20"/>
                <w:lang w:val="sv-SE"/>
              </w:rPr>
              <w:t xml:space="preserve"> </w:t>
            </w:r>
            <w:r w:rsidR="00937A53">
              <w:rPr>
                <w:sz w:val="20"/>
                <w:szCs w:val="20"/>
                <w:lang w:val="sv-SE"/>
              </w:rPr>
              <w:t>939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4BCE8449" w:rsidR="00701D5B" w:rsidRPr="00132AA6" w:rsidRDefault="00701D5B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132AA6">
        <w:t xml:space="preserve">WIZJA LOKALNA </w:t>
      </w:r>
    </w:p>
    <w:p w14:paraId="6BFB3B55" w14:textId="1980450C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złożeniem oferty w celu doprecyzowania zawartych we wzorze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 zagadnień zaleca się przeprowadzenie przez Dostawców wizji lokalnej.</w:t>
      </w:r>
      <w:r w:rsidR="00683E6B" w:rsidRPr="00FF4B6F">
        <w:rPr>
          <w:sz w:val="18"/>
          <w:szCs w:val="18"/>
        </w:rPr>
        <w:t xml:space="preserve"> </w:t>
      </w:r>
    </w:p>
    <w:p w14:paraId="20202EA2" w14:textId="50CC27E2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terminem złożenia oferty Dostawca ma prawo do wielokrotnej inspekcji obiektów będących przedmiotem Zamówienia, na swój koszt, celem własnej oceny miejsca i przedmiotu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mowy.</w:t>
      </w:r>
    </w:p>
    <w:p w14:paraId="0DA9AEFB" w14:textId="77777777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Dostawca uzgodni z przedstawicielem Zlecającego do spraw technicznych, z wyprzedzeniem dwudniowym, datę wizji lokalnej. Wejście na teren zakładu wymaga imiennego zgłoszenia i niezbędnego wyposażenia (ubranie i środki ochronne) oraz pozyskania przepustki „GOŚĆ”.</w:t>
      </w:r>
    </w:p>
    <w:p w14:paraId="41AA9A84" w14:textId="333D6FC1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 przeprowadzana w godzinach 8:00-14:00 w dni powszednie (tj. w dniach od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poniedziałku do piątku z wyłączeniem dni świątecznych).</w:t>
      </w:r>
    </w:p>
    <w:p w14:paraId="48F690CB" w14:textId="35ECA1B4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być, na życzenie Dostawcy, połączona z udzieleniem dodatkowych wyjaśnień przez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przedstawiciela Zlecającego. Zlecający zapewnia, że wszystkim Dostawcom będą udostępnione te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same informacje.</w:t>
      </w:r>
    </w:p>
    <w:p w14:paraId="361DA998" w14:textId="77777777" w:rsidR="00701D5B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Zlecający zezwala na inspekcję obiektów przez przedstawicieli Dostawcy pod warunkiem zwolnienia Zlecającego od odpowiedzialności z tytułu następstw ewentualnych nieszczęśliwych wypadków, którym mogą ulec ci przedstawiciele na terenie zakładów Zlecającego. Ryzyko i odpowiedzialność z tego tytułu ponosi wyłącznie Dostawca.</w:t>
      </w:r>
    </w:p>
    <w:p w14:paraId="499BF74B" w14:textId="77777777" w:rsidR="00FB6AEA" w:rsidRPr="00FF4B6F" w:rsidRDefault="00FB6AEA" w:rsidP="00FB6AEA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</w:rPr>
      </w:pPr>
    </w:p>
    <w:p w14:paraId="1710EAFE" w14:textId="5469286E" w:rsidR="00773EF0" w:rsidRPr="007C03A2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lastRenderedPageBreak/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07EDC9F2" w:rsidR="00773EF0" w:rsidRPr="00E352F7" w:rsidRDefault="009F01D4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  <w:r w:rsidR="00E352F7">
        <w:rPr>
          <w:sz w:val="18"/>
          <w:szCs w:val="18"/>
        </w:rPr>
        <w:t>;</w:t>
      </w:r>
    </w:p>
    <w:p w14:paraId="7FCC8CCE" w14:textId="6341AC6D" w:rsidR="00E352F7" w:rsidRPr="00E352F7" w:rsidRDefault="00E352F7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color w:val="FF0000"/>
        </w:rPr>
      </w:pPr>
      <w:r w:rsidRPr="00E352F7">
        <w:rPr>
          <w:color w:val="FF0000"/>
          <w:sz w:val="18"/>
          <w:szCs w:val="18"/>
        </w:rPr>
        <w:t xml:space="preserve">dopuszczenia/odrzucenia oferty </w:t>
      </w:r>
      <w:r>
        <w:rPr>
          <w:color w:val="FF0000"/>
          <w:sz w:val="18"/>
          <w:szCs w:val="18"/>
        </w:rPr>
        <w:t>Dostawcy</w:t>
      </w:r>
      <w:r w:rsidRPr="00E352F7">
        <w:rPr>
          <w:color w:val="FF0000"/>
          <w:sz w:val="18"/>
          <w:szCs w:val="18"/>
        </w:rPr>
        <w:t xml:space="preserve">, który złożył najwyższą ofertę cenową w I rundzie postępowania zakupowego. </w:t>
      </w:r>
    </w:p>
    <w:p w14:paraId="2D30B875" w14:textId="0FB1942D" w:rsidR="00773EF0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797BB9E1" w14:textId="77777777" w:rsidR="00DF0446" w:rsidRDefault="00DF0446" w:rsidP="00132AA6">
      <w:pPr>
        <w:spacing w:line="276" w:lineRule="auto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30D2BADE" w:rsidR="00773EF0" w:rsidRPr="00DF0446" w:rsidRDefault="00937A53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>Karolina Siemińska</w:t>
      </w: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0A809FA4" w:rsidR="001843E5" w:rsidRPr="00937A53" w:rsidRDefault="00DF0446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FD5BC7">
        <w:rPr>
          <w:color w:val="000000" w:themeColor="text1"/>
          <w:sz w:val="18"/>
          <w:szCs w:val="18"/>
        </w:rPr>
        <w:t xml:space="preserve">tel. +48 22 587 </w:t>
      </w:r>
      <w:r w:rsidR="00132AA6" w:rsidRPr="00FD5BC7">
        <w:rPr>
          <w:color w:val="000000" w:themeColor="text1"/>
          <w:sz w:val="18"/>
          <w:szCs w:val="18"/>
        </w:rPr>
        <w:t xml:space="preserve">84 </w:t>
      </w:r>
      <w:r w:rsidR="00937A53" w:rsidRPr="00FD5BC7">
        <w:rPr>
          <w:color w:val="000000" w:themeColor="text1"/>
          <w:sz w:val="18"/>
          <w:szCs w:val="18"/>
        </w:rPr>
        <w:t>30</w:t>
      </w:r>
      <w:r w:rsidRPr="00FD5BC7">
        <w:rPr>
          <w:color w:val="000000" w:themeColor="text1"/>
          <w:sz w:val="18"/>
          <w:szCs w:val="18"/>
        </w:rPr>
        <w:br/>
        <w:t xml:space="preserve">tel. kom. </w:t>
      </w:r>
      <w:r w:rsidRPr="00132AA6">
        <w:rPr>
          <w:color w:val="000000" w:themeColor="text1"/>
          <w:sz w:val="18"/>
          <w:szCs w:val="18"/>
          <w:lang w:val="en-GB"/>
        </w:rPr>
        <w:t>+48</w:t>
      </w:r>
      <w:r w:rsidR="00937A53">
        <w:rPr>
          <w:color w:val="000000" w:themeColor="text1"/>
          <w:sz w:val="18"/>
          <w:szCs w:val="18"/>
          <w:lang w:val="en-GB"/>
        </w:rPr>
        <w:t> 501 964 382</w:t>
      </w:r>
      <w:r w:rsidRPr="00132AA6">
        <w:rPr>
          <w:color w:val="000000" w:themeColor="text1"/>
          <w:sz w:val="18"/>
          <w:szCs w:val="18"/>
          <w:lang w:val="en-GB"/>
        </w:rPr>
        <w:br/>
      </w:r>
      <w:r w:rsidR="007C03A2" w:rsidRPr="00132AA6">
        <w:rPr>
          <w:sz w:val="18"/>
          <w:szCs w:val="18"/>
          <w:lang w:val="en-GB"/>
        </w:rPr>
        <w:t>e-</w:t>
      </w:r>
      <w:r w:rsidR="001843E5" w:rsidRPr="00132AA6">
        <w:rPr>
          <w:sz w:val="18"/>
          <w:szCs w:val="18"/>
          <w:lang w:val="en-GB"/>
        </w:rPr>
        <w:t>mail</w:t>
      </w:r>
      <w:r w:rsidR="005B47C9" w:rsidRPr="00132AA6">
        <w:rPr>
          <w:sz w:val="18"/>
          <w:szCs w:val="18"/>
          <w:lang w:val="en-GB"/>
        </w:rPr>
        <w:t>:</w:t>
      </w:r>
      <w:r w:rsidRPr="00132AA6">
        <w:rPr>
          <w:sz w:val="18"/>
          <w:szCs w:val="18"/>
          <w:lang w:val="en-GB"/>
        </w:rPr>
        <w:t xml:space="preserve"> </w:t>
      </w:r>
      <w:hyperlink r:id="rId15" w:history="1">
        <w:r w:rsidR="00937A53" w:rsidRPr="00105732">
          <w:rPr>
            <w:rStyle w:val="Hipercze"/>
            <w:sz w:val="18"/>
            <w:szCs w:val="18"/>
            <w:lang w:val="en-GB"/>
          </w:rPr>
          <w:t>karolina.sieminska@termika.orlen.pl</w:t>
        </w:r>
      </w:hyperlink>
      <w:bookmarkEnd w:id="0"/>
    </w:p>
    <w:sectPr w:rsidR="001843E5" w:rsidRPr="00937A53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D9A56" w14:textId="77777777" w:rsidR="00C826A3" w:rsidRDefault="00C826A3">
      <w:r>
        <w:separator/>
      </w:r>
    </w:p>
  </w:endnote>
  <w:endnote w:type="continuationSeparator" w:id="0">
    <w:p w14:paraId="70261FB7" w14:textId="77777777" w:rsidR="00C826A3" w:rsidRDefault="00C8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1B59" w14:textId="77777777" w:rsidR="00C826A3" w:rsidRDefault="00C826A3">
      <w:r>
        <w:separator/>
      </w:r>
    </w:p>
  </w:footnote>
  <w:footnote w:type="continuationSeparator" w:id="0">
    <w:p w14:paraId="6F1FB7C2" w14:textId="77777777" w:rsidR="00C826A3" w:rsidRDefault="00C8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8E023E3"/>
    <w:multiLevelType w:val="hybridMultilevel"/>
    <w:tmpl w:val="97E6FDD6"/>
    <w:lvl w:ilvl="0" w:tplc="04150017">
      <w:start w:val="1"/>
      <w:numFmt w:val="lowerLetter"/>
      <w:lvlText w:val="%1)"/>
      <w:lvlJc w:val="left"/>
      <w:pPr>
        <w:ind w:left="996" w:hanging="428"/>
      </w:pPr>
      <w:rPr>
        <w:rFonts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0C6D5947"/>
    <w:multiLevelType w:val="hybridMultilevel"/>
    <w:tmpl w:val="86C812E8"/>
    <w:lvl w:ilvl="0" w:tplc="0415001B">
      <w:start w:val="1"/>
      <w:numFmt w:val="lowerRoman"/>
      <w:lvlText w:val="%1."/>
      <w:lvlJc w:val="right"/>
      <w:pPr>
        <w:ind w:left="2436" w:hanging="360"/>
      </w:pPr>
    </w:lvl>
    <w:lvl w:ilvl="1" w:tplc="04150019" w:tentative="1">
      <w:start w:val="1"/>
      <w:numFmt w:val="lowerLetter"/>
      <w:lvlText w:val="%2."/>
      <w:lvlJc w:val="left"/>
      <w:pPr>
        <w:ind w:left="3156" w:hanging="360"/>
      </w:pPr>
    </w:lvl>
    <w:lvl w:ilvl="2" w:tplc="0415001B">
      <w:start w:val="1"/>
      <w:numFmt w:val="lowerRoman"/>
      <w:lvlText w:val="%3."/>
      <w:lvlJc w:val="right"/>
      <w:pPr>
        <w:ind w:left="3876" w:hanging="180"/>
      </w:pPr>
    </w:lvl>
    <w:lvl w:ilvl="3" w:tplc="0415000F" w:tentative="1">
      <w:start w:val="1"/>
      <w:numFmt w:val="decimal"/>
      <w:lvlText w:val="%4."/>
      <w:lvlJc w:val="left"/>
      <w:pPr>
        <w:ind w:left="4596" w:hanging="360"/>
      </w:pPr>
    </w:lvl>
    <w:lvl w:ilvl="4" w:tplc="04150019" w:tentative="1">
      <w:start w:val="1"/>
      <w:numFmt w:val="lowerLetter"/>
      <w:lvlText w:val="%5."/>
      <w:lvlJc w:val="left"/>
      <w:pPr>
        <w:ind w:left="5316" w:hanging="360"/>
      </w:pPr>
    </w:lvl>
    <w:lvl w:ilvl="5" w:tplc="0415001B" w:tentative="1">
      <w:start w:val="1"/>
      <w:numFmt w:val="lowerRoman"/>
      <w:lvlText w:val="%6."/>
      <w:lvlJc w:val="right"/>
      <w:pPr>
        <w:ind w:left="6036" w:hanging="180"/>
      </w:pPr>
    </w:lvl>
    <w:lvl w:ilvl="6" w:tplc="0415000F" w:tentative="1">
      <w:start w:val="1"/>
      <w:numFmt w:val="decimal"/>
      <w:lvlText w:val="%7."/>
      <w:lvlJc w:val="left"/>
      <w:pPr>
        <w:ind w:left="6756" w:hanging="360"/>
      </w:pPr>
    </w:lvl>
    <w:lvl w:ilvl="7" w:tplc="04150019" w:tentative="1">
      <w:start w:val="1"/>
      <w:numFmt w:val="lowerLetter"/>
      <w:lvlText w:val="%8."/>
      <w:lvlJc w:val="left"/>
      <w:pPr>
        <w:ind w:left="7476" w:hanging="360"/>
      </w:pPr>
    </w:lvl>
    <w:lvl w:ilvl="8" w:tplc="0415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3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33760076"/>
    <w:multiLevelType w:val="hybridMultilevel"/>
    <w:tmpl w:val="95A452E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6" w15:restartNumberingAfterBreak="0">
    <w:nsid w:val="6B5B4FA5"/>
    <w:multiLevelType w:val="hybridMultilevel"/>
    <w:tmpl w:val="2A7C243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B">
      <w:start w:val="1"/>
      <w:numFmt w:val="lowerRoman"/>
      <w:lvlText w:val="%2."/>
      <w:lvlJc w:val="right"/>
      <w:pPr>
        <w:ind w:left="2436" w:hanging="360"/>
      </w:pPr>
    </w:lvl>
    <w:lvl w:ilvl="2" w:tplc="3B26AA06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76" w:hanging="360"/>
      </w:pPr>
    </w:lvl>
    <w:lvl w:ilvl="4" w:tplc="04150019" w:tentative="1">
      <w:start w:val="1"/>
      <w:numFmt w:val="lowerLetter"/>
      <w:lvlText w:val="%5."/>
      <w:lvlJc w:val="left"/>
      <w:pPr>
        <w:ind w:left="4596" w:hanging="360"/>
      </w:pPr>
    </w:lvl>
    <w:lvl w:ilvl="5" w:tplc="0415001B" w:tentative="1">
      <w:start w:val="1"/>
      <w:numFmt w:val="lowerRoman"/>
      <w:lvlText w:val="%6."/>
      <w:lvlJc w:val="right"/>
      <w:pPr>
        <w:ind w:left="5316" w:hanging="180"/>
      </w:pPr>
    </w:lvl>
    <w:lvl w:ilvl="6" w:tplc="0415000F" w:tentative="1">
      <w:start w:val="1"/>
      <w:numFmt w:val="decimal"/>
      <w:lvlText w:val="%7."/>
      <w:lvlJc w:val="left"/>
      <w:pPr>
        <w:ind w:left="6036" w:hanging="360"/>
      </w:pPr>
    </w:lvl>
    <w:lvl w:ilvl="7" w:tplc="04150019" w:tentative="1">
      <w:start w:val="1"/>
      <w:numFmt w:val="lowerLetter"/>
      <w:lvlText w:val="%8."/>
      <w:lvlJc w:val="left"/>
      <w:pPr>
        <w:ind w:left="6756" w:hanging="360"/>
      </w:pPr>
    </w:lvl>
    <w:lvl w:ilvl="8" w:tplc="0415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7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9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0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5"/>
  </w:num>
  <w:num w:numId="2" w16cid:durableId="238176078">
    <w:abstractNumId w:val="11"/>
  </w:num>
  <w:num w:numId="3" w16cid:durableId="1355889500">
    <w:abstractNumId w:val="17"/>
  </w:num>
  <w:num w:numId="4" w16cid:durableId="1340621590">
    <w:abstractNumId w:val="7"/>
  </w:num>
  <w:num w:numId="5" w16cid:durableId="1138689380">
    <w:abstractNumId w:val="21"/>
  </w:num>
  <w:num w:numId="6" w16cid:durableId="1490245124">
    <w:abstractNumId w:val="3"/>
  </w:num>
  <w:num w:numId="7" w16cid:durableId="1759404629">
    <w:abstractNumId w:val="18"/>
  </w:num>
  <w:num w:numId="8" w16cid:durableId="1259605702">
    <w:abstractNumId w:val="5"/>
  </w:num>
  <w:num w:numId="9" w16cid:durableId="1915892277">
    <w:abstractNumId w:val="4"/>
  </w:num>
  <w:num w:numId="10" w16cid:durableId="974944343">
    <w:abstractNumId w:val="13"/>
  </w:num>
  <w:num w:numId="11" w16cid:durableId="58554306">
    <w:abstractNumId w:val="14"/>
  </w:num>
  <w:num w:numId="12" w16cid:durableId="13698182">
    <w:abstractNumId w:val="19"/>
  </w:num>
  <w:num w:numId="13" w16cid:durableId="957369020">
    <w:abstractNumId w:val="8"/>
  </w:num>
  <w:num w:numId="14" w16cid:durableId="1812088360">
    <w:abstractNumId w:val="0"/>
  </w:num>
  <w:num w:numId="15" w16cid:durableId="1044405581">
    <w:abstractNumId w:val="20"/>
  </w:num>
  <w:num w:numId="16" w16cid:durableId="1175075454">
    <w:abstractNumId w:val="6"/>
  </w:num>
  <w:num w:numId="17" w16cid:durableId="2034110867">
    <w:abstractNumId w:val="10"/>
  </w:num>
  <w:num w:numId="18" w16cid:durableId="1083647462">
    <w:abstractNumId w:val="12"/>
  </w:num>
  <w:num w:numId="19" w16cid:durableId="1390610396">
    <w:abstractNumId w:val="9"/>
  </w:num>
  <w:num w:numId="20" w16cid:durableId="1737632125">
    <w:abstractNumId w:val="1"/>
  </w:num>
  <w:num w:numId="21" w16cid:durableId="383723478">
    <w:abstractNumId w:val="16"/>
  </w:num>
  <w:num w:numId="22" w16cid:durableId="1995596172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24474"/>
    <w:rsid w:val="00030BB4"/>
    <w:rsid w:val="000333E2"/>
    <w:rsid w:val="0003516E"/>
    <w:rsid w:val="00035785"/>
    <w:rsid w:val="000377EF"/>
    <w:rsid w:val="00043C67"/>
    <w:rsid w:val="00056473"/>
    <w:rsid w:val="0006159D"/>
    <w:rsid w:val="00064524"/>
    <w:rsid w:val="000739CC"/>
    <w:rsid w:val="00090453"/>
    <w:rsid w:val="00093AAF"/>
    <w:rsid w:val="000951B1"/>
    <w:rsid w:val="000A6FCD"/>
    <w:rsid w:val="000B3104"/>
    <w:rsid w:val="000B5C17"/>
    <w:rsid w:val="000D3E8E"/>
    <w:rsid w:val="000E433E"/>
    <w:rsid w:val="000E5BF6"/>
    <w:rsid w:val="000F0598"/>
    <w:rsid w:val="000F1E00"/>
    <w:rsid w:val="001006D1"/>
    <w:rsid w:val="001017FD"/>
    <w:rsid w:val="0010270F"/>
    <w:rsid w:val="00125851"/>
    <w:rsid w:val="00132AA6"/>
    <w:rsid w:val="00147499"/>
    <w:rsid w:val="001613CD"/>
    <w:rsid w:val="001622D9"/>
    <w:rsid w:val="00163BC9"/>
    <w:rsid w:val="001843E5"/>
    <w:rsid w:val="00191989"/>
    <w:rsid w:val="00193FBB"/>
    <w:rsid w:val="001957FE"/>
    <w:rsid w:val="001B6886"/>
    <w:rsid w:val="001C006C"/>
    <w:rsid w:val="001C315B"/>
    <w:rsid w:val="001C6833"/>
    <w:rsid w:val="001C6DBD"/>
    <w:rsid w:val="001D0801"/>
    <w:rsid w:val="001D6359"/>
    <w:rsid w:val="001F05C4"/>
    <w:rsid w:val="00201BFB"/>
    <w:rsid w:val="002100FD"/>
    <w:rsid w:val="00232BB3"/>
    <w:rsid w:val="00235A02"/>
    <w:rsid w:val="0024661E"/>
    <w:rsid w:val="002479BC"/>
    <w:rsid w:val="00270C7A"/>
    <w:rsid w:val="00283842"/>
    <w:rsid w:val="00296E01"/>
    <w:rsid w:val="00297347"/>
    <w:rsid w:val="002A1AC4"/>
    <w:rsid w:val="002B1772"/>
    <w:rsid w:val="002B1921"/>
    <w:rsid w:val="002B1D0F"/>
    <w:rsid w:val="002B2501"/>
    <w:rsid w:val="002B2CBA"/>
    <w:rsid w:val="002C5A0F"/>
    <w:rsid w:val="002C5A3A"/>
    <w:rsid w:val="002D0A29"/>
    <w:rsid w:val="002D0DFB"/>
    <w:rsid w:val="002D5977"/>
    <w:rsid w:val="002E281B"/>
    <w:rsid w:val="002E4C10"/>
    <w:rsid w:val="002F2347"/>
    <w:rsid w:val="00304C96"/>
    <w:rsid w:val="00314E37"/>
    <w:rsid w:val="003222BB"/>
    <w:rsid w:val="00331729"/>
    <w:rsid w:val="00341D47"/>
    <w:rsid w:val="003446A8"/>
    <w:rsid w:val="00346801"/>
    <w:rsid w:val="003519B4"/>
    <w:rsid w:val="0036025F"/>
    <w:rsid w:val="00374C60"/>
    <w:rsid w:val="00375D29"/>
    <w:rsid w:val="00380DB1"/>
    <w:rsid w:val="00381017"/>
    <w:rsid w:val="00381455"/>
    <w:rsid w:val="003B16E8"/>
    <w:rsid w:val="003B5936"/>
    <w:rsid w:val="003B6061"/>
    <w:rsid w:val="003F06F8"/>
    <w:rsid w:val="003F514E"/>
    <w:rsid w:val="003F6AA8"/>
    <w:rsid w:val="00402C82"/>
    <w:rsid w:val="00403183"/>
    <w:rsid w:val="004035C7"/>
    <w:rsid w:val="004163A3"/>
    <w:rsid w:val="0041645E"/>
    <w:rsid w:val="004641C5"/>
    <w:rsid w:val="00467D4D"/>
    <w:rsid w:val="004743D3"/>
    <w:rsid w:val="004A0A4F"/>
    <w:rsid w:val="004C50CE"/>
    <w:rsid w:val="004C5198"/>
    <w:rsid w:val="004C6AA8"/>
    <w:rsid w:val="004D3CD4"/>
    <w:rsid w:val="004E03D7"/>
    <w:rsid w:val="004E2F8C"/>
    <w:rsid w:val="004E3159"/>
    <w:rsid w:val="005029B2"/>
    <w:rsid w:val="0050366D"/>
    <w:rsid w:val="00530653"/>
    <w:rsid w:val="005372A5"/>
    <w:rsid w:val="00556F0F"/>
    <w:rsid w:val="0057039E"/>
    <w:rsid w:val="00591258"/>
    <w:rsid w:val="005B47C9"/>
    <w:rsid w:val="005C5014"/>
    <w:rsid w:val="005D45A7"/>
    <w:rsid w:val="005F1337"/>
    <w:rsid w:val="005F28C3"/>
    <w:rsid w:val="006013F5"/>
    <w:rsid w:val="00605F07"/>
    <w:rsid w:val="00613883"/>
    <w:rsid w:val="006235EF"/>
    <w:rsid w:val="006448B7"/>
    <w:rsid w:val="00644ADF"/>
    <w:rsid w:val="0066476A"/>
    <w:rsid w:val="00683E6B"/>
    <w:rsid w:val="00686F02"/>
    <w:rsid w:val="00687E11"/>
    <w:rsid w:val="00693CC7"/>
    <w:rsid w:val="006D31C6"/>
    <w:rsid w:val="006E1602"/>
    <w:rsid w:val="006E5D91"/>
    <w:rsid w:val="006F5698"/>
    <w:rsid w:val="00701D5B"/>
    <w:rsid w:val="007105F5"/>
    <w:rsid w:val="00727E4E"/>
    <w:rsid w:val="00730A5E"/>
    <w:rsid w:val="00743D8A"/>
    <w:rsid w:val="00745342"/>
    <w:rsid w:val="007566E6"/>
    <w:rsid w:val="0075719F"/>
    <w:rsid w:val="00757524"/>
    <w:rsid w:val="00773EF0"/>
    <w:rsid w:val="00785CC3"/>
    <w:rsid w:val="007C03A2"/>
    <w:rsid w:val="007C06A8"/>
    <w:rsid w:val="007D01A1"/>
    <w:rsid w:val="007D1DAF"/>
    <w:rsid w:val="007D5DF8"/>
    <w:rsid w:val="00823AE9"/>
    <w:rsid w:val="0082584C"/>
    <w:rsid w:val="008321E4"/>
    <w:rsid w:val="00841AE5"/>
    <w:rsid w:val="00854E1E"/>
    <w:rsid w:val="00860D77"/>
    <w:rsid w:val="00866836"/>
    <w:rsid w:val="00866C8F"/>
    <w:rsid w:val="00870234"/>
    <w:rsid w:val="0087197C"/>
    <w:rsid w:val="008828C9"/>
    <w:rsid w:val="008967B2"/>
    <w:rsid w:val="008B047A"/>
    <w:rsid w:val="008C291D"/>
    <w:rsid w:val="008D1E0F"/>
    <w:rsid w:val="008D2B39"/>
    <w:rsid w:val="008D4FA5"/>
    <w:rsid w:val="009061A8"/>
    <w:rsid w:val="00910906"/>
    <w:rsid w:val="00916307"/>
    <w:rsid w:val="00917004"/>
    <w:rsid w:val="00937A53"/>
    <w:rsid w:val="00943529"/>
    <w:rsid w:val="00952041"/>
    <w:rsid w:val="00952717"/>
    <w:rsid w:val="00956C3E"/>
    <w:rsid w:val="00965F06"/>
    <w:rsid w:val="00966DDE"/>
    <w:rsid w:val="00985231"/>
    <w:rsid w:val="0099244B"/>
    <w:rsid w:val="009A21E8"/>
    <w:rsid w:val="009B192F"/>
    <w:rsid w:val="009D6900"/>
    <w:rsid w:val="009F01D4"/>
    <w:rsid w:val="009F3CAF"/>
    <w:rsid w:val="00A13FC2"/>
    <w:rsid w:val="00A14DEC"/>
    <w:rsid w:val="00A15BB0"/>
    <w:rsid w:val="00A17816"/>
    <w:rsid w:val="00A66839"/>
    <w:rsid w:val="00A74EC7"/>
    <w:rsid w:val="00A84DEE"/>
    <w:rsid w:val="00AA1A34"/>
    <w:rsid w:val="00AA46E5"/>
    <w:rsid w:val="00AC321F"/>
    <w:rsid w:val="00AD4B2D"/>
    <w:rsid w:val="00AF409E"/>
    <w:rsid w:val="00B03197"/>
    <w:rsid w:val="00B070DB"/>
    <w:rsid w:val="00B32173"/>
    <w:rsid w:val="00B3700E"/>
    <w:rsid w:val="00B731EF"/>
    <w:rsid w:val="00B734FC"/>
    <w:rsid w:val="00B8385B"/>
    <w:rsid w:val="00B84577"/>
    <w:rsid w:val="00B87952"/>
    <w:rsid w:val="00B95543"/>
    <w:rsid w:val="00BA69EE"/>
    <w:rsid w:val="00BB3E27"/>
    <w:rsid w:val="00BB5262"/>
    <w:rsid w:val="00BC37D2"/>
    <w:rsid w:val="00BD1D5A"/>
    <w:rsid w:val="00BD41A2"/>
    <w:rsid w:val="00BD5A7D"/>
    <w:rsid w:val="00BE2C51"/>
    <w:rsid w:val="00BE68B7"/>
    <w:rsid w:val="00C01D44"/>
    <w:rsid w:val="00C076F4"/>
    <w:rsid w:val="00C1418F"/>
    <w:rsid w:val="00C16730"/>
    <w:rsid w:val="00C200FE"/>
    <w:rsid w:val="00C22898"/>
    <w:rsid w:val="00C333A0"/>
    <w:rsid w:val="00C37035"/>
    <w:rsid w:val="00C414F8"/>
    <w:rsid w:val="00C4433E"/>
    <w:rsid w:val="00C51774"/>
    <w:rsid w:val="00C64B7E"/>
    <w:rsid w:val="00C826A3"/>
    <w:rsid w:val="00C8738B"/>
    <w:rsid w:val="00C913AA"/>
    <w:rsid w:val="00C93FDE"/>
    <w:rsid w:val="00CA17BE"/>
    <w:rsid w:val="00CB074C"/>
    <w:rsid w:val="00CB3ABB"/>
    <w:rsid w:val="00CB3F55"/>
    <w:rsid w:val="00CC0EBF"/>
    <w:rsid w:val="00CC5960"/>
    <w:rsid w:val="00CD2F51"/>
    <w:rsid w:val="00CD6080"/>
    <w:rsid w:val="00CE1254"/>
    <w:rsid w:val="00CF5F77"/>
    <w:rsid w:val="00CF7FA1"/>
    <w:rsid w:val="00D0015A"/>
    <w:rsid w:val="00D061BC"/>
    <w:rsid w:val="00D11423"/>
    <w:rsid w:val="00D11A2A"/>
    <w:rsid w:val="00D276FA"/>
    <w:rsid w:val="00D32106"/>
    <w:rsid w:val="00D327FD"/>
    <w:rsid w:val="00D456BC"/>
    <w:rsid w:val="00D52EAD"/>
    <w:rsid w:val="00D53188"/>
    <w:rsid w:val="00D53450"/>
    <w:rsid w:val="00D54971"/>
    <w:rsid w:val="00D64607"/>
    <w:rsid w:val="00D65B7C"/>
    <w:rsid w:val="00D72D9B"/>
    <w:rsid w:val="00D7380D"/>
    <w:rsid w:val="00D773B6"/>
    <w:rsid w:val="00D84D0A"/>
    <w:rsid w:val="00D91B3A"/>
    <w:rsid w:val="00D9702E"/>
    <w:rsid w:val="00DA3A3A"/>
    <w:rsid w:val="00DB3439"/>
    <w:rsid w:val="00DC31D2"/>
    <w:rsid w:val="00DD4D63"/>
    <w:rsid w:val="00DD4E6D"/>
    <w:rsid w:val="00DE504A"/>
    <w:rsid w:val="00DE518D"/>
    <w:rsid w:val="00DF0446"/>
    <w:rsid w:val="00DF2442"/>
    <w:rsid w:val="00DF722F"/>
    <w:rsid w:val="00E23DB2"/>
    <w:rsid w:val="00E352F7"/>
    <w:rsid w:val="00E4504C"/>
    <w:rsid w:val="00E47D59"/>
    <w:rsid w:val="00E52B4F"/>
    <w:rsid w:val="00E67CDA"/>
    <w:rsid w:val="00E764CD"/>
    <w:rsid w:val="00EA68E7"/>
    <w:rsid w:val="00EA7AF6"/>
    <w:rsid w:val="00EB3810"/>
    <w:rsid w:val="00EC1F4C"/>
    <w:rsid w:val="00EC38EE"/>
    <w:rsid w:val="00ED0183"/>
    <w:rsid w:val="00EE2D92"/>
    <w:rsid w:val="00EF0E6D"/>
    <w:rsid w:val="00F043E2"/>
    <w:rsid w:val="00F14D02"/>
    <w:rsid w:val="00F31A7A"/>
    <w:rsid w:val="00F36AD9"/>
    <w:rsid w:val="00F40722"/>
    <w:rsid w:val="00F50B0F"/>
    <w:rsid w:val="00F536EE"/>
    <w:rsid w:val="00F638E0"/>
    <w:rsid w:val="00F72F27"/>
    <w:rsid w:val="00F74645"/>
    <w:rsid w:val="00F92D17"/>
    <w:rsid w:val="00FA2C5A"/>
    <w:rsid w:val="00FB4751"/>
    <w:rsid w:val="00FB4CF9"/>
    <w:rsid w:val="00FB6AEA"/>
    <w:rsid w:val="00FC02EC"/>
    <w:rsid w:val="00FC04A8"/>
    <w:rsid w:val="00FC1D33"/>
    <w:rsid w:val="00FC4EE7"/>
    <w:rsid w:val="00FD5BC7"/>
    <w:rsid w:val="00FE02AF"/>
    <w:rsid w:val="00FE1340"/>
    <w:rsid w:val="00FE179B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olina.sieminska@termika.orlen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karolina.sieminska@termika.orlen.pl" TargetMode="External"/><Relationship Id="rId10" Type="http://schemas.openxmlformats.org/officeDocument/2006/relationships/hyperlink" Target="https://crbr.podatki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yperlink" Target="mailto:andrzej.golebiewski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2585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Siemińska Karolina</cp:lastModifiedBy>
  <cp:revision>13</cp:revision>
  <dcterms:created xsi:type="dcterms:W3CDTF">2025-10-17T12:38:00Z</dcterms:created>
  <dcterms:modified xsi:type="dcterms:W3CDTF">2026-01-16T06:09:00Z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